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C1" w:rsidRDefault="00D72CC1" w:rsidP="00D72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D72CC1" w:rsidRDefault="00D72CC1" w:rsidP="00D72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ogłasza  I</w:t>
      </w:r>
      <w:r w:rsidR="00E000B6">
        <w:rPr>
          <w:rFonts w:ascii="Arial" w:eastAsia="Times New Roman" w:hAnsi="Arial" w:cs="Arial"/>
          <w:b/>
          <w:bCs/>
          <w:lang w:eastAsia="pl-PL"/>
        </w:rPr>
        <w:t>I</w:t>
      </w:r>
      <w:r>
        <w:rPr>
          <w:rFonts w:ascii="Arial" w:eastAsia="Times New Roman" w:hAnsi="Arial" w:cs="Arial"/>
          <w:b/>
          <w:bCs/>
          <w:lang w:eastAsia="pl-PL"/>
        </w:rPr>
        <w:t xml:space="preserve"> ustny przetarg nieograniczony</w:t>
      </w:r>
    </w:p>
    <w:p w:rsidR="00D72CC1" w:rsidRDefault="00D72CC1" w:rsidP="00D72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72CC1" w:rsidRDefault="00D72CC1" w:rsidP="00D72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 oznaczonych numerami ewidencyjnymi działek:</w:t>
      </w:r>
    </w:p>
    <w:p w:rsidR="00D72CC1" w:rsidRDefault="00D72CC1" w:rsidP="00D72C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608"/>
        <w:gridCol w:w="1624"/>
        <w:gridCol w:w="1239"/>
        <w:gridCol w:w="931"/>
        <w:gridCol w:w="2127"/>
        <w:gridCol w:w="1520"/>
        <w:gridCol w:w="1239"/>
      </w:tblGrid>
      <w:tr w:rsidR="00D72CC1" w:rsidTr="00D72CC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D72CC1" w:rsidRDefault="00D72CC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D72CC1" w:rsidRDefault="00D72CC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D72CC1" w:rsidTr="00D72CC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0,1169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31 000,00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5 000,00</w:t>
            </w:r>
          </w:p>
        </w:tc>
      </w:tr>
      <w:tr w:rsidR="00D72CC1" w:rsidTr="00D72CC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0,1006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1" w:rsidRDefault="00D72CC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4 000,00</w:t>
            </w:r>
          </w:p>
        </w:tc>
      </w:tr>
    </w:tbl>
    <w:p w:rsidR="00D72CC1" w:rsidRDefault="00D72CC1" w:rsidP="00D72CC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72CC1" w:rsidRDefault="00D72CC1" w:rsidP="00D72C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doliczony należny podatek VAT zgodnie z obowiązującą stawką. Nieruchomości są wolne od wszelkich długów, ciężarów                          i hipotek oraz nie są obciążone ograniczonymi prawami rzeczowymi.</w:t>
      </w:r>
    </w:p>
    <w:p w:rsidR="00D72CC1" w:rsidRDefault="00D72CC1" w:rsidP="00D72C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72CC1" w:rsidRDefault="00D72CC1" w:rsidP="00D72CC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obowiązującym miejscowym planem zagospodarowania przestrzennego Gminy Górzyca przyjętym uchwałą Nr XXXII.174.2013 Rady Gminy Górzyca z dnia 27 września 2013 r.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zmiany uchwały Nr XVI.85.2012 Rady Gminy Górzyca z dnia    2 marca 2012 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uchwalenia miejscowego planu zagospodarowania przestrzennego gminy Górzyca w obrębie miejscowości Górzyca, działki nr 258 i 260 obręb Górzyca  położone są w terenie zabudowy mieszkaniowej jednorodzinnej o symbolu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 MN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72CC1" w:rsidRDefault="00D72CC1" w:rsidP="00D72CC1">
      <w:pPr>
        <w:pStyle w:val="Akapitzlist"/>
        <w:spacing w:line="240" w:lineRule="auto"/>
        <w:ind w:left="0" w:firstLine="7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Ustalenia dla terenu</w:t>
      </w:r>
      <w:r>
        <w:rPr>
          <w:rFonts w:ascii="Arial" w:hAnsi="Arial" w:cs="Arial"/>
          <w:b/>
          <w:bCs/>
          <w:sz w:val="20"/>
          <w:szCs w:val="20"/>
        </w:rPr>
        <w:t xml:space="preserve"> 6 MN – </w:t>
      </w:r>
      <w:r>
        <w:rPr>
          <w:rFonts w:ascii="Arial" w:hAnsi="Arial" w:cs="Arial"/>
          <w:bCs/>
          <w:sz w:val="20"/>
          <w:szCs w:val="20"/>
        </w:rPr>
        <w:t>teren zabudowy mieszkaniowej jednorodzinnej.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terenów oznaczonych na rysunku planu symbolami: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1MN, 2MN, 3MN, 5MN, 6MN, 7MN, 8MN, 9MN,12MN, 13MN, 14 MN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15MN, 20MN, 20aMN, 20bMN, 25MN, 27MN, 30MN, 31MN, 31aMN, 32MN, 32aMN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ustala się:</w:t>
      </w:r>
    </w:p>
    <w:p w:rsidR="00D72CC1" w:rsidRDefault="00D72CC1" w:rsidP="00D72C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podstawowe: zabudowa mieszkaniowa jednorodzinna;</w:t>
      </w:r>
    </w:p>
    <w:p w:rsidR="00D72CC1" w:rsidRDefault="00D72CC1" w:rsidP="00D72C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uzupełniające: usługi podstawowe, zajmujące do 30% powierzchni użytkowej budynku mieszkalnego lub do 25% powierzchni zabudowy w przypadku lokalizacji w odrębnym budynku usługowym.</w:t>
      </w:r>
    </w:p>
    <w:p w:rsidR="00D72CC1" w:rsidRDefault="00D72CC1" w:rsidP="00D72C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1a. Dla terenu oznaczonego na rysunku planu symbolem </w:t>
      </w:r>
      <w:r>
        <w:rPr>
          <w:rFonts w:ascii="Arial" w:hAnsi="Arial" w:cs="Arial"/>
          <w:bCs/>
          <w:sz w:val="20"/>
          <w:szCs w:val="20"/>
        </w:rPr>
        <w:t xml:space="preserve">31MN, </w:t>
      </w:r>
      <w:r>
        <w:rPr>
          <w:rFonts w:ascii="Arial" w:hAnsi="Arial" w:cs="Arial"/>
          <w:sz w:val="20"/>
          <w:szCs w:val="20"/>
        </w:rPr>
        <w:t>dopuszcza się budownictwo socjalne.                         3. Na terenach o których mowa powyżej  w zakresie kształtowania zabudowy obowiązuje:</w:t>
      </w:r>
    </w:p>
    <w:p w:rsidR="00D72CC1" w:rsidRDefault="00D72CC1" w:rsidP="00D72CC1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budynków – jako wolnostojące;</w:t>
      </w:r>
    </w:p>
    <w:p w:rsidR="00D72CC1" w:rsidRDefault="00D72CC1" w:rsidP="00D72CC1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budynku mieszkalnego: od 6 m do 10 m;</w:t>
      </w:r>
    </w:p>
    <w:p w:rsidR="00D72CC1" w:rsidRDefault="00D72CC1" w:rsidP="00D72CC1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zakaz stosowania:</w:t>
      </w:r>
    </w:p>
    <w:p w:rsidR="00D72CC1" w:rsidRDefault="00D72CC1" w:rsidP="00D72CC1">
      <w:pPr>
        <w:numPr>
          <w:ilvl w:val="4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ogrodzeń z prefabrykatów betonowych od strony ulic,</w:t>
      </w:r>
    </w:p>
    <w:p w:rsidR="00D72CC1" w:rsidRDefault="00D72CC1" w:rsidP="00D72CC1">
      <w:pPr>
        <w:numPr>
          <w:ilvl w:val="4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frontu działki dachów asymetrycznych, lukarn i facjat dachowych o powierzchni większej niż połowa połaci dachu,</w:t>
      </w:r>
    </w:p>
    <w:p w:rsidR="00D72CC1" w:rsidRDefault="00D72CC1" w:rsidP="00D72CC1">
      <w:pPr>
        <w:numPr>
          <w:ilvl w:val="4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tworzyw sztucznych typu </w:t>
      </w:r>
      <w:proofErr w:type="spellStart"/>
      <w:r>
        <w:rPr>
          <w:rFonts w:ascii="Arial" w:hAnsi="Arial" w:cs="Arial"/>
          <w:sz w:val="20"/>
          <w:szCs w:val="20"/>
        </w:rPr>
        <w:t>siding</w:t>
      </w:r>
      <w:proofErr w:type="spellEnd"/>
      <w:r>
        <w:rPr>
          <w:rFonts w:ascii="Arial" w:hAnsi="Arial" w:cs="Arial"/>
          <w:sz w:val="20"/>
          <w:szCs w:val="20"/>
        </w:rPr>
        <w:t xml:space="preserve"> jako materiały okładzinowe;</w:t>
      </w:r>
    </w:p>
    <w:p w:rsidR="00D72CC1" w:rsidRDefault="00D72CC1" w:rsidP="00D72CC1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dachy dwuspadowe lub wielospadowe o kącie nachylenia połaci od 25º do 45º;</w:t>
      </w:r>
    </w:p>
    <w:p w:rsidR="00D72CC1" w:rsidRDefault="00D72CC1" w:rsidP="00D72CC1">
      <w:pPr>
        <w:numPr>
          <w:ilvl w:val="3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pokrycie dachówką lub materiałem </w:t>
      </w:r>
      <w:proofErr w:type="spellStart"/>
      <w:r>
        <w:rPr>
          <w:rFonts w:ascii="Arial" w:hAnsi="Arial" w:cs="Arial"/>
          <w:sz w:val="20"/>
          <w:szCs w:val="20"/>
        </w:rPr>
        <w:t>dachówkopodobnym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72CC1" w:rsidRDefault="00D72CC1" w:rsidP="00D72C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kształtowania zabudowy dopuszcza się:</w:t>
      </w:r>
    </w:p>
    <w:p w:rsidR="00D72CC1" w:rsidRDefault="00D72CC1" w:rsidP="00D72CC1">
      <w:pPr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ogrodzenia od frontu działki o wysokości do 1,5 m, ażurowości min. 40%, z podmurówką pełną </w:t>
      </w:r>
      <w:r>
        <w:rPr>
          <w:rFonts w:ascii="Arial" w:hAnsi="Arial" w:cs="Arial"/>
          <w:sz w:val="20"/>
          <w:szCs w:val="20"/>
        </w:rPr>
        <w:br/>
        <w:t>do 0,5 m;</w:t>
      </w:r>
    </w:p>
    <w:p w:rsidR="00D72CC1" w:rsidRDefault="00D72CC1" w:rsidP="00D72CC1">
      <w:pPr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działce budowlanej budynek garażowy lub gospodarczy wolnostojący, o powierzchni zabudowy do 50 m², wysokości do 6 m, o geometrii dachu i pokryciu jak dla budynku mieszkalnego;</w:t>
      </w:r>
    </w:p>
    <w:p w:rsidR="00D72CC1" w:rsidRDefault="00D72CC1" w:rsidP="00D72CC1">
      <w:pPr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obiekty małej architektury.</w:t>
      </w:r>
    </w:p>
    <w:p w:rsidR="00D72CC1" w:rsidRDefault="00D72CC1" w:rsidP="00D72C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zagospodarowania terenu i kształtowania ładu przestrzennego obowiązuje:</w:t>
      </w:r>
    </w:p>
    <w:p w:rsidR="00D72CC1" w:rsidRDefault="00D72CC1" w:rsidP="00D72CC1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zabudowy do 25% powierzchni działki;</w:t>
      </w:r>
    </w:p>
    <w:p w:rsidR="00D72CC1" w:rsidRDefault="00D72CC1" w:rsidP="00D72CC1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biologicznie czynna co najmniej 50% powierzchni działki.</w:t>
      </w:r>
    </w:p>
    <w:p w:rsidR="00D72CC1" w:rsidRDefault="00D72CC1" w:rsidP="00D72CC1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zasad i warunków łączenia i podziałów nieruchomości dla nowych działek obowiązuje:</w:t>
      </w:r>
    </w:p>
    <w:p w:rsidR="00D72CC1" w:rsidRDefault="00D72CC1" w:rsidP="00D72CC1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działki budowlanej od 1000 m²;</w:t>
      </w:r>
    </w:p>
    <w:p w:rsidR="00D72CC1" w:rsidRPr="00D72CC1" w:rsidRDefault="00D72CC1" w:rsidP="00D72CC1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frontu działki budowlanej od 20 m.</w:t>
      </w:r>
    </w:p>
    <w:p w:rsidR="00D72CC1" w:rsidRDefault="00D72CC1" w:rsidP="00D72CC1">
      <w:pPr>
        <w:spacing w:after="0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CC1" w:rsidRDefault="00D72CC1" w:rsidP="00D72CC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31 maja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2017r. o godz. 10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Warunkiem przystąpienia do przetargu jest wniesienie wadium w pieniądzu, które należy wpłacić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25 maja 2017r.  godz. 15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dowód wpłaty wadium i dowód tożsamości a w przypadku osób reprezentujących podmioty gospodarcze dodatkowo dokumenty niezbędne do ich reprezentowania, </w:t>
      </w:r>
      <w:r>
        <w:rPr>
          <w:rFonts w:ascii="Arial" w:hAnsi="Arial" w:cs="Arial"/>
          <w:sz w:val="20"/>
          <w:szCs w:val="20"/>
        </w:rPr>
        <w:t>wypis z odpowiedniego rejestru lub ewidencji działalności gospodarczej.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D72CC1" w:rsidRDefault="00D72CC1" w:rsidP="00D72CC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D72CC1" w:rsidRDefault="00D72CC1" w:rsidP="00D72CC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Pierwszy przetarg odbył się dnia 21 kwietnia 2017r.</w:t>
      </w:r>
    </w:p>
    <w:p w:rsidR="00D72CC1" w:rsidRDefault="00D72CC1" w:rsidP="00D72C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   nr 095 7591211 wew. 28. </w:t>
      </w:r>
    </w:p>
    <w:p w:rsidR="00D72CC1" w:rsidRDefault="00D72CC1" w:rsidP="00D72CC1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CC1" w:rsidRDefault="00D72CC1" w:rsidP="00D72CC1">
      <w:pPr>
        <w:spacing w:after="0" w:line="240" w:lineRule="auto"/>
        <w:ind w:left="637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D72CC1" w:rsidRDefault="00D72CC1" w:rsidP="00D72C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CC1" w:rsidRDefault="00D72CC1" w:rsidP="00D72C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CC1" w:rsidRDefault="00D72CC1" w:rsidP="00D72C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28 kwietnia 2017r. </w:t>
      </w:r>
    </w:p>
    <w:p w:rsidR="00D72CC1" w:rsidRDefault="00D72CC1" w:rsidP="00D72CC1"/>
    <w:p w:rsidR="00D72CC1" w:rsidRDefault="00D72CC1" w:rsidP="00D72CC1"/>
    <w:p w:rsidR="00B6571A" w:rsidRDefault="00B6571A" w:rsidP="00B6571A">
      <w:pPr>
        <w:spacing w:after="0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Wójt</w:t>
      </w:r>
    </w:p>
    <w:p w:rsidR="00B6571A" w:rsidRDefault="00B6571A" w:rsidP="00B6571A">
      <w:pPr>
        <w:spacing w:after="0"/>
        <w:jc w:val="right"/>
      </w:pPr>
      <w:r>
        <w:t>(-) Robert Stolarski</w:t>
      </w:r>
    </w:p>
    <w:p w:rsidR="00D72CC1" w:rsidRDefault="00D72CC1" w:rsidP="00D72CC1"/>
    <w:p w:rsidR="00D72CC1" w:rsidRDefault="00D72CC1" w:rsidP="00D72CC1"/>
    <w:p w:rsidR="00D72CC1" w:rsidRDefault="00D72CC1" w:rsidP="00D72CC1"/>
    <w:p w:rsidR="00D72CC1" w:rsidRDefault="00D72CC1" w:rsidP="00D72CC1"/>
    <w:p w:rsidR="00611558" w:rsidRDefault="00611558"/>
    <w:sectPr w:rsidR="0061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>
    <w:nsid w:val="60B300C5"/>
    <w:multiLevelType w:val="hybridMultilevel"/>
    <w:tmpl w:val="828C9968"/>
    <w:lvl w:ilvl="0" w:tplc="70C6F51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C1"/>
    <w:rsid w:val="00611558"/>
    <w:rsid w:val="00B6571A"/>
    <w:rsid w:val="00D72CC1"/>
    <w:rsid w:val="00E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CC1"/>
    <w:pPr>
      <w:ind w:left="720"/>
      <w:contextualSpacing/>
    </w:pPr>
  </w:style>
  <w:style w:type="table" w:styleId="Tabela-Siatka">
    <w:name w:val="Table Grid"/>
    <w:basedOn w:val="Standardowy"/>
    <w:rsid w:val="00D72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CC1"/>
    <w:pPr>
      <w:ind w:left="720"/>
      <w:contextualSpacing/>
    </w:pPr>
  </w:style>
  <w:style w:type="table" w:styleId="Tabela-Siatka">
    <w:name w:val="Table Grid"/>
    <w:basedOn w:val="Standardowy"/>
    <w:rsid w:val="00D72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3</cp:revision>
  <cp:lastPrinted>2017-04-27T12:33:00Z</cp:lastPrinted>
  <dcterms:created xsi:type="dcterms:W3CDTF">2017-04-27T12:27:00Z</dcterms:created>
  <dcterms:modified xsi:type="dcterms:W3CDTF">2017-04-28T06:20:00Z</dcterms:modified>
</cp:coreProperties>
</file>