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2" w:rsidRDefault="00A73852" w:rsidP="00A738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A73852" w:rsidRDefault="00A73852" w:rsidP="00A738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VI ustny przetarg nieograniczony</w:t>
      </w:r>
    </w:p>
    <w:p w:rsidR="00A73852" w:rsidRDefault="00A73852" w:rsidP="00A738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73852" w:rsidRDefault="00A73852" w:rsidP="00A738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oznaczonych numerami ewidencyjnymi działek:</w:t>
      </w:r>
    </w:p>
    <w:p w:rsidR="00A73852" w:rsidRDefault="00A73852" w:rsidP="00A7385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08"/>
        <w:gridCol w:w="1624"/>
        <w:gridCol w:w="1239"/>
        <w:gridCol w:w="931"/>
        <w:gridCol w:w="2127"/>
        <w:gridCol w:w="1520"/>
        <w:gridCol w:w="1239"/>
      </w:tblGrid>
      <w:tr w:rsidR="00A73852" w:rsidTr="005F50B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A73852" w:rsidRDefault="00A73852" w:rsidP="005F50B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A73852" w:rsidTr="005F50B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A73852" w:rsidTr="005F50B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A73852" w:rsidTr="005F50B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A73852" w:rsidTr="005F50B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2" w:rsidRDefault="00A73852" w:rsidP="005F50B3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52" w:rsidRDefault="00A73852" w:rsidP="005F50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</w:tbl>
    <w:p w:rsidR="00A73852" w:rsidRDefault="00A73852" w:rsidP="00A738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3852" w:rsidRDefault="00A73852" w:rsidP="00A738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A73852" w:rsidRDefault="00A73852" w:rsidP="00A738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73852" w:rsidRDefault="00A73852" w:rsidP="00A738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657/11,657/12,657/13,657/14 obręb Górzyca  położone jest w terenie zabudowy mieszkaniowej jednorodzinnej o symbolu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32aMN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73852" w:rsidRDefault="00A73852" w:rsidP="00A7385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A73852" w:rsidRDefault="00A73852" w:rsidP="00A738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strefie dla inwestycji związanych z pracami ziemnymi wymagane jest przeprowadzenie wyprzedzających badań wykopaliskowych, zgodnie z przepisami odrębnymi.</w:t>
      </w:r>
    </w:p>
    <w:p w:rsidR="00A73852" w:rsidRDefault="00A73852" w:rsidP="00A738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A73852" w:rsidRDefault="00A73852" w:rsidP="00A7385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A73852" w:rsidRDefault="00A73852" w:rsidP="00A7385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Ochroną prawną objęty jest zespół stanowisk archeologicznych wpisanych do rejestru zabytków pod numerem L-88/C z dnia 11 września 2012 roku.                                                                              </w:t>
      </w:r>
    </w:p>
    <w:p w:rsidR="00A73852" w:rsidRDefault="00A73852" w:rsidP="00A73852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Ustalenia dla terenu</w:t>
      </w:r>
      <w:r>
        <w:rPr>
          <w:rFonts w:ascii="Arial" w:hAnsi="Arial" w:cs="Arial"/>
          <w:b/>
          <w:bCs/>
          <w:sz w:val="20"/>
          <w:szCs w:val="20"/>
        </w:rPr>
        <w:t xml:space="preserve"> 32aMN – </w:t>
      </w:r>
      <w:r>
        <w:rPr>
          <w:rFonts w:ascii="Arial" w:hAnsi="Arial" w:cs="Arial"/>
          <w:bCs/>
          <w:sz w:val="20"/>
          <w:szCs w:val="20"/>
        </w:rPr>
        <w:t>teren zabudowy mieszkaniowej jednorodzinnej.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terenów oznaczonych na rysunku planu symbolami: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 się:</w:t>
      </w:r>
    </w:p>
    <w:p w:rsidR="00A73852" w:rsidRDefault="00A73852" w:rsidP="00A738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A73852" w:rsidRDefault="00A73852" w:rsidP="00A738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A73852" w:rsidRDefault="00A73852" w:rsidP="00A73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Dla terenu oznaczonego na rysunku planu symbolem </w:t>
      </w:r>
      <w:r>
        <w:rPr>
          <w:rFonts w:ascii="Arial" w:hAnsi="Arial" w:cs="Arial"/>
          <w:bCs/>
          <w:sz w:val="20"/>
          <w:szCs w:val="20"/>
        </w:rPr>
        <w:t xml:space="preserve">31MN, </w:t>
      </w:r>
      <w:r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A73852" w:rsidRDefault="00A73852" w:rsidP="00A73852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budynków – jako wolnostojące;</w:t>
      </w:r>
    </w:p>
    <w:p w:rsidR="00A73852" w:rsidRDefault="00A73852" w:rsidP="00A73852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budynku mieszkalnego: od 6 m do 10 m;</w:t>
      </w:r>
    </w:p>
    <w:p w:rsidR="00A73852" w:rsidRDefault="00A73852" w:rsidP="00A73852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 stosowania:</w:t>
      </w:r>
    </w:p>
    <w:p w:rsidR="00A73852" w:rsidRDefault="00A73852" w:rsidP="00A73852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ogrodzeń z prefabrykatów betonowych od strony ulic,</w:t>
      </w:r>
    </w:p>
    <w:p w:rsidR="00A73852" w:rsidRDefault="00A73852" w:rsidP="00A73852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A73852" w:rsidRDefault="00A73852" w:rsidP="00A73852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>
        <w:rPr>
          <w:rFonts w:ascii="Arial" w:hAnsi="Arial" w:cs="Arial"/>
          <w:sz w:val="20"/>
          <w:szCs w:val="20"/>
        </w:rPr>
        <w:t>siding</w:t>
      </w:r>
      <w:proofErr w:type="spellEnd"/>
      <w:r>
        <w:rPr>
          <w:rFonts w:ascii="Arial" w:hAnsi="Arial" w:cs="Arial"/>
          <w:sz w:val="20"/>
          <w:szCs w:val="20"/>
        </w:rPr>
        <w:t xml:space="preserve"> jako materiały okładzinowe;</w:t>
      </w:r>
    </w:p>
    <w:p w:rsidR="00A73852" w:rsidRDefault="00A73852" w:rsidP="00A73852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A73852" w:rsidRPr="003D10C8" w:rsidRDefault="00A73852" w:rsidP="00A73852">
      <w:pPr>
        <w:numPr>
          <w:ilvl w:val="3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>
        <w:rPr>
          <w:rFonts w:ascii="Arial" w:hAnsi="Arial" w:cs="Arial"/>
          <w:sz w:val="20"/>
          <w:szCs w:val="20"/>
        </w:rPr>
        <w:t>dachówkopodobnym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73852" w:rsidRDefault="00A73852" w:rsidP="00A73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kształtowania zabudowy dopuszcza się:</w:t>
      </w:r>
    </w:p>
    <w:p w:rsidR="00A73852" w:rsidRDefault="00A73852" w:rsidP="00A73852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>
        <w:rPr>
          <w:rFonts w:ascii="Arial" w:hAnsi="Arial" w:cs="Arial"/>
          <w:sz w:val="20"/>
          <w:szCs w:val="20"/>
        </w:rPr>
        <w:br/>
        <w:t>do 0,5 m;</w:t>
      </w:r>
    </w:p>
    <w:p w:rsidR="00A73852" w:rsidRDefault="00A73852" w:rsidP="00A73852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A73852" w:rsidRDefault="00A73852" w:rsidP="00A73852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obiekty małej architektury.</w:t>
      </w:r>
    </w:p>
    <w:p w:rsidR="00A73852" w:rsidRDefault="00A73852" w:rsidP="00A73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A73852" w:rsidRDefault="00A73852" w:rsidP="00A73852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powierzchnia zabudowy do 25% powierzchni działki;</w:t>
      </w:r>
    </w:p>
    <w:p w:rsidR="00A73852" w:rsidRDefault="00A73852" w:rsidP="00A73852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A73852" w:rsidRDefault="00A73852" w:rsidP="00A73852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A73852" w:rsidRDefault="00A73852" w:rsidP="00A73852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działki budowlanej od 1000 m²;</w:t>
      </w:r>
    </w:p>
    <w:p w:rsidR="00A73852" w:rsidRDefault="00A73852" w:rsidP="00A73852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frontu działki budowlanej od 20 m.</w:t>
      </w:r>
    </w:p>
    <w:p w:rsidR="00A73852" w:rsidRDefault="00A73852" w:rsidP="00A73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852" w:rsidRDefault="00A73852" w:rsidP="00A73852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3852" w:rsidRDefault="00A73852" w:rsidP="00A7385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30 listopada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2016r. o godz. 11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 listopada 2016r.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A73852" w:rsidRDefault="00A73852" w:rsidP="00A7385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6739E0" w:rsidRPr="009E7ED7" w:rsidRDefault="00A73852" w:rsidP="00A738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19 kwietnia 2016r., drugi przetarg odbył się dnia 24 maja 2016r., trzeci przetarg odbył się dnia 04 lipca 2016r.</w:t>
      </w:r>
      <w:r w:rsidR="006739E0">
        <w:rPr>
          <w:rFonts w:ascii="Arial" w:eastAsia="Times New Roman" w:hAnsi="Arial" w:cs="Arial"/>
          <w:sz w:val="20"/>
          <w:szCs w:val="20"/>
          <w:lang w:eastAsia="pl-PL"/>
        </w:rPr>
        <w:t>, czwarty przetarg odbył</w:t>
      </w:r>
      <w:r w:rsidR="004C55D8">
        <w:rPr>
          <w:rFonts w:ascii="Arial" w:eastAsia="Times New Roman" w:hAnsi="Arial" w:cs="Arial"/>
          <w:sz w:val="20"/>
          <w:szCs w:val="20"/>
          <w:lang w:eastAsia="pl-PL"/>
        </w:rPr>
        <w:t xml:space="preserve"> się dnia 12 sierpnia 2016r.,pią</w:t>
      </w:r>
      <w:bookmarkStart w:id="0" w:name="_GoBack"/>
      <w:bookmarkEnd w:id="0"/>
      <w:r w:rsidR="006739E0">
        <w:rPr>
          <w:rFonts w:ascii="Arial" w:eastAsia="Times New Roman" w:hAnsi="Arial" w:cs="Arial"/>
          <w:sz w:val="20"/>
          <w:szCs w:val="20"/>
          <w:lang w:eastAsia="pl-PL"/>
        </w:rPr>
        <w:t>ty przetarg odbył się dnia 12 października 2016r.</w:t>
      </w:r>
    </w:p>
    <w:p w:rsidR="00A73852" w:rsidRPr="009E7ED7" w:rsidRDefault="00A73852" w:rsidP="00A7385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A73852" w:rsidRDefault="00A73852" w:rsidP="00A73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nr 095 7591211 wew. 28. </w:t>
      </w:r>
    </w:p>
    <w:p w:rsidR="00A73852" w:rsidRDefault="00A73852" w:rsidP="00A73852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3852" w:rsidRPr="003C066A" w:rsidRDefault="00A73852" w:rsidP="00A73852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A73852" w:rsidRDefault="00A73852" w:rsidP="00A738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3852" w:rsidRDefault="00A73852" w:rsidP="00A738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3852" w:rsidRPr="006C6AC0" w:rsidRDefault="00A73852" w:rsidP="00A738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28 października  2016r. </w:t>
      </w:r>
    </w:p>
    <w:p w:rsidR="00A73852" w:rsidRDefault="004C55D8" w:rsidP="004C55D8">
      <w:pPr>
        <w:spacing w:after="0"/>
        <w:jc w:val="right"/>
      </w:pPr>
      <w:r>
        <w:t>Wójt</w:t>
      </w:r>
    </w:p>
    <w:p w:rsidR="004C55D8" w:rsidRDefault="004C55D8" w:rsidP="004C55D8">
      <w:pPr>
        <w:spacing w:after="0"/>
        <w:jc w:val="right"/>
      </w:pPr>
      <w:r>
        <w:t>(-) Robert Stolarski</w:t>
      </w:r>
    </w:p>
    <w:p w:rsidR="00A73852" w:rsidRDefault="00A73852" w:rsidP="00A73852">
      <w:pPr>
        <w:ind w:left="7080"/>
      </w:pPr>
    </w:p>
    <w:p w:rsidR="00A73852" w:rsidRDefault="00A73852" w:rsidP="00A73852"/>
    <w:p w:rsidR="00A73852" w:rsidRDefault="00A73852" w:rsidP="00A73852"/>
    <w:p w:rsidR="00A73852" w:rsidRDefault="00A73852" w:rsidP="00A73852"/>
    <w:p w:rsidR="00A73852" w:rsidRDefault="00A73852" w:rsidP="00A73852"/>
    <w:p w:rsidR="00A73852" w:rsidRDefault="00A73852" w:rsidP="00A73852"/>
    <w:p w:rsidR="00A73852" w:rsidRDefault="00A73852" w:rsidP="00A73852"/>
    <w:p w:rsidR="00A73852" w:rsidRDefault="00A73852" w:rsidP="00A73852"/>
    <w:p w:rsidR="00B125E7" w:rsidRDefault="00B125E7"/>
    <w:sectPr w:rsidR="00B1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2"/>
    <w:rsid w:val="004C55D8"/>
    <w:rsid w:val="006739E0"/>
    <w:rsid w:val="00A73852"/>
    <w:rsid w:val="00B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852"/>
    <w:pPr>
      <w:ind w:left="720"/>
      <w:contextualSpacing/>
    </w:pPr>
  </w:style>
  <w:style w:type="table" w:styleId="Tabela-Siatka">
    <w:name w:val="Table Grid"/>
    <w:basedOn w:val="Standardowy"/>
    <w:rsid w:val="00A7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852"/>
    <w:pPr>
      <w:ind w:left="720"/>
      <w:contextualSpacing/>
    </w:pPr>
  </w:style>
  <w:style w:type="table" w:styleId="Tabela-Siatka">
    <w:name w:val="Table Grid"/>
    <w:basedOn w:val="Standardowy"/>
    <w:rsid w:val="00A7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dcterms:created xsi:type="dcterms:W3CDTF">2016-10-26T07:54:00Z</dcterms:created>
  <dcterms:modified xsi:type="dcterms:W3CDTF">2016-10-28T08:06:00Z</dcterms:modified>
</cp:coreProperties>
</file>